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Pr="00E42755" w:rsidRDefault="00DC5C4E" w:rsidP="00921942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F6B31">
        <w:rPr>
          <w:rFonts w:ascii="Palatino Linotype" w:hAnsi="Palatino Linotype" w:cs="Arial"/>
          <w:b/>
        </w:rPr>
        <w:t>TRIGÉSIMA TERCERA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6F6B31">
        <w:rPr>
          <w:rFonts w:ascii="Palatino Linotype" w:hAnsi="Palatino Linotype" w:cs="Arial"/>
          <w:b/>
        </w:rPr>
        <w:t>DOCE DE SEPTIEMBRE</w:t>
      </w:r>
      <w:r w:rsidR="0008364B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>DE DOS MIL DIECIOCHO</w:t>
      </w:r>
      <w:r w:rsidRPr="0007653D">
        <w:rPr>
          <w:rFonts w:ascii="Palatino Linotype" w:hAnsi="Palatino Linotype" w:cs="Arial"/>
          <w:b/>
        </w:rPr>
        <w:t>, EN EL RECURSO DE REVISIÓN 0</w:t>
      </w:r>
      <w:r w:rsidR="006F6B31">
        <w:rPr>
          <w:rFonts w:ascii="Palatino Linotype" w:hAnsi="Palatino Linotype" w:cs="Arial"/>
          <w:b/>
        </w:rPr>
        <w:t>2728</w:t>
      </w:r>
      <w:r w:rsidR="005912F1">
        <w:rPr>
          <w:rFonts w:ascii="Palatino Linotype" w:hAnsi="Palatino Linotype" w:cs="Arial"/>
          <w:b/>
        </w:rPr>
        <w:t>/INFOEM/IP/RR/2018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E42755" w:rsidRDefault="00DC5C4E" w:rsidP="00921942">
      <w:pPr>
        <w:widowControl w:val="0"/>
        <w:tabs>
          <w:tab w:val="left" w:pos="1740"/>
        </w:tabs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6F6B31">
        <w:rPr>
          <w:rFonts w:ascii="Palatino Linotype" w:eastAsia="Calibri" w:hAnsi="Palatino Linotype" w:cs="Arial"/>
          <w:b/>
          <w:color w:val="000000"/>
        </w:rPr>
        <w:t>2728</w:t>
      </w:r>
      <w:r w:rsidR="00AD7F4F"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 w:rsidR="005912F1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6F6B31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6F6B31">
        <w:rPr>
          <w:rFonts w:ascii="Palatino Linotype" w:hAnsi="Palatino Linotype" w:cs="Arial"/>
        </w:rPr>
        <w:t>o</w:t>
      </w:r>
      <w:r w:rsidR="005912F1">
        <w:rPr>
          <w:rFonts w:ascii="Palatino Linotype" w:hAnsi="Palatino Linotype" w:cs="Arial"/>
        </w:rPr>
        <w:t xml:space="preserve"> </w:t>
      </w:r>
      <w:r w:rsidR="006F6B31">
        <w:rPr>
          <w:rFonts w:ascii="Palatino Linotype" w:hAnsi="Palatino Linotype" w:cs="Arial"/>
          <w:b/>
        </w:rPr>
        <w:t>JOSÉ GUADALUPE LUNA HERNÁDEZ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B058E5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</w:t>
      </w:r>
      <w:proofErr w:type="gramStart"/>
      <w:r>
        <w:rPr>
          <w:rFonts w:ascii="Palatino Linotype" w:hAnsi="Palatino Linotype"/>
        </w:rPr>
        <w:t>resolución</w:t>
      </w:r>
      <w:proofErr w:type="gramEnd"/>
      <w:r>
        <w:rPr>
          <w:rFonts w:ascii="Palatino Linotype" w:hAnsi="Palatino Linotype"/>
        </w:rPr>
        <w:t xml:space="preserve">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>a información que se ordena 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0F4B5B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 w:rsidR="007B2574">
        <w:rPr>
          <w:rFonts w:ascii="Palatino Linotype" w:hAnsi="Palatino Linotype"/>
        </w:rPr>
        <w:t>requirió del</w:t>
      </w:r>
      <w:r w:rsidR="00017A8B">
        <w:rPr>
          <w:rFonts w:ascii="Palatino Linotype" w:hAnsi="Palatino Linotype"/>
        </w:rPr>
        <w:t xml:space="preserve"> </w:t>
      </w:r>
      <w:r w:rsidR="006F6B31">
        <w:rPr>
          <w:rFonts w:ascii="Palatino Linotype" w:hAnsi="Palatino Linotype"/>
          <w:b/>
          <w:bCs/>
          <w:color w:val="000000"/>
        </w:rPr>
        <w:t>Ayuntamiento de Ecatepec</w:t>
      </w:r>
      <w:r w:rsidR="000A2370">
        <w:rPr>
          <w:rFonts w:ascii="Palatino Linotype" w:hAnsi="Palatino Linotype"/>
        </w:rPr>
        <w:t xml:space="preserve">, en lo subsecuente </w:t>
      </w:r>
      <w:r w:rsidR="00040986" w:rsidRPr="00040986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 w:rsidR="001A7CEE">
        <w:rPr>
          <w:rFonts w:ascii="Palatino Linotype" w:hAnsi="Palatino Linotype"/>
          <w:b/>
        </w:rPr>
        <w:t>,</w:t>
      </w:r>
      <w:r w:rsidR="000450C7">
        <w:rPr>
          <w:rFonts w:ascii="Palatino Linotype" w:hAnsi="Palatino Linotype"/>
        </w:rPr>
        <w:t xml:space="preserve"> </w:t>
      </w:r>
      <w:r w:rsidR="006F6B31">
        <w:rPr>
          <w:rFonts w:ascii="Palatino Linotype" w:hAnsi="Palatino Linotype"/>
        </w:rPr>
        <w:t xml:space="preserve">copia simple del último convenio del año 2018 entre el </w:t>
      </w:r>
      <w:r w:rsidR="006F6B31">
        <w:rPr>
          <w:rFonts w:ascii="Palatino Linotype" w:hAnsi="Palatino Linotype"/>
        </w:rPr>
        <w:lastRenderedPageBreak/>
        <w:t>Ayuntamiento y el Sindicato Único de Trabajadores</w:t>
      </w:r>
      <w:r w:rsidR="003026B4">
        <w:rPr>
          <w:rFonts w:ascii="Palatino Linotype" w:hAnsi="Palatino Linotype"/>
        </w:rPr>
        <w:t xml:space="preserve"> de los Poderes, Municipios e Instituciones Descentralizadas del Estado de México</w:t>
      </w:r>
      <w:r w:rsidR="000A2370">
        <w:rPr>
          <w:rFonts w:ascii="Palatino Linotype" w:hAnsi="Palatino Linotype"/>
        </w:rPr>
        <w:t>.</w:t>
      </w:r>
    </w:p>
    <w:p w:rsidR="007B2296" w:rsidRPr="006661F3" w:rsidRDefault="000F4B5B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3026B4" w:rsidRPr="00D83996">
        <w:rPr>
          <w:rFonts w:ascii="Palatino Linotype" w:eastAsia="Calibri" w:hAnsi="Palatino Linotype"/>
        </w:rPr>
        <w:t>manifestó que dentro de los archivos de su oficina no se encuentra, ni se generó acta alguna del último convenio del año dos mil dieciocho</w:t>
      </w:r>
      <w:r>
        <w:rPr>
          <w:rFonts w:ascii="Palatino Linotype" w:hAnsi="Palatino Linotype" w:cs="Arial"/>
        </w:rPr>
        <w:t>.</w:t>
      </w:r>
    </w:p>
    <w:p w:rsidR="007B2296" w:rsidRDefault="000F4B5B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Pr="000F4B5B">
        <w:rPr>
          <w:rFonts w:ascii="Palatino Linotype" w:hAnsi="Palatino Linotype"/>
        </w:rPr>
        <w:t xml:space="preserve"> como razones o motivos de inconformidad lo siguiente:</w:t>
      </w:r>
    </w:p>
    <w:p w:rsidR="007B2296" w:rsidRPr="006661F3" w:rsidRDefault="000F4B5B" w:rsidP="00921942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3026B4" w:rsidRPr="00652EFB">
        <w:rPr>
          <w:rFonts w:ascii="Palatino Linotype" w:hAnsi="Palatino Linotype"/>
          <w:i/>
          <w:sz w:val="22"/>
          <w:szCs w:val="22"/>
        </w:rPr>
        <w:t xml:space="preserve">Es evidente que el sujeto obligado niega entregar la información, pero en diferentes medios de comunicación hicieron </w:t>
      </w:r>
      <w:proofErr w:type="spellStart"/>
      <w:r w:rsidR="003026B4" w:rsidRPr="00652EFB">
        <w:rPr>
          <w:rFonts w:ascii="Palatino Linotype" w:hAnsi="Palatino Linotype"/>
          <w:i/>
          <w:sz w:val="22"/>
          <w:szCs w:val="22"/>
        </w:rPr>
        <w:t>publico</w:t>
      </w:r>
      <w:proofErr w:type="spellEnd"/>
      <w:r w:rsidR="003026B4" w:rsidRPr="00652EFB">
        <w:rPr>
          <w:rFonts w:ascii="Palatino Linotype" w:hAnsi="Palatino Linotype"/>
          <w:i/>
          <w:sz w:val="22"/>
          <w:szCs w:val="22"/>
        </w:rPr>
        <w:t xml:space="preserve"> que hubo un convenio de prestaciones de sueldos a principios del mes de julio de 2018, como se aprecia en el siguiente link https://elpulsoedomex.com.mx/suteym-y-ecatepec-firman-convenio-de-prestaciones/ por lo cual solicit</w:t>
      </w:r>
      <w:r w:rsidR="003026B4">
        <w:rPr>
          <w:rFonts w:ascii="Palatino Linotype" w:hAnsi="Palatino Linotype"/>
          <w:i/>
          <w:sz w:val="22"/>
          <w:szCs w:val="22"/>
        </w:rPr>
        <w:t>o esa copia de acta de convenio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” (sic)</w:t>
      </w:r>
    </w:p>
    <w:p w:rsidR="00AD7F4F" w:rsidRDefault="00DC5C4E" w:rsidP="00921942">
      <w:pPr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</w:t>
      </w:r>
      <w:proofErr w:type="spellStart"/>
      <w:r w:rsidR="000F4B5B">
        <w:rPr>
          <w:rFonts w:ascii="Palatino Linotype" w:hAnsi="Palatino Linotype" w:cs="Arial"/>
        </w:rPr>
        <w:t>Resolutora</w:t>
      </w:r>
      <w:proofErr w:type="spellEnd"/>
      <w:r w:rsidR="000F4B5B">
        <w:rPr>
          <w:rFonts w:ascii="Palatino Linotype" w:hAnsi="Palatino Linotype" w:cs="Arial"/>
        </w:rPr>
        <w:t xml:space="preserve"> determinó </w:t>
      </w:r>
      <w:r w:rsidR="003026B4">
        <w:rPr>
          <w:rFonts w:ascii="Palatino Linotype" w:hAnsi="Palatino Linotype" w:cs="Arial"/>
          <w:b/>
        </w:rPr>
        <w:t>REVOCAR</w:t>
      </w:r>
      <w:r w:rsidR="00AD7F4F" w:rsidRPr="00AD7F4F">
        <w:rPr>
          <w:rFonts w:ascii="Palatino Linotype" w:hAnsi="Palatino Linotype" w:cs="Arial"/>
        </w:rPr>
        <w:t xml:space="preserve"> la respuesta proporcionada por </w:t>
      </w:r>
      <w:r w:rsidR="009F03BA">
        <w:rPr>
          <w:rFonts w:ascii="Palatino Linotype" w:hAnsi="Palatino Linotype" w:cs="Arial"/>
          <w:b/>
        </w:rPr>
        <w:t>EL SUJETO OBLIGADO</w:t>
      </w:r>
      <w:r w:rsidR="00EE1DA7">
        <w:rPr>
          <w:rFonts w:ascii="Palatino Linotype" w:hAnsi="Palatino Linotype" w:cs="Arial"/>
        </w:rPr>
        <w:t xml:space="preserve"> y</w:t>
      </w:r>
      <w:r w:rsidR="00AD7F4F" w:rsidRPr="00AD7F4F">
        <w:rPr>
          <w:rFonts w:ascii="Palatino Linotype" w:hAnsi="Palatino Linotype" w:cs="Arial"/>
        </w:rPr>
        <w:t xml:space="preserve"> </w:t>
      </w:r>
      <w:r w:rsidR="00AD7F4F">
        <w:rPr>
          <w:rFonts w:ascii="Palatino Linotype" w:hAnsi="Palatino Linotype" w:cs="Arial"/>
        </w:rPr>
        <w:t>ordenar</w:t>
      </w:r>
      <w:r w:rsidR="00AD7F4F" w:rsidRPr="00AD7F4F">
        <w:rPr>
          <w:rFonts w:ascii="Palatino Linotype" w:hAnsi="Palatino Linotype" w:cs="Arial"/>
        </w:rPr>
        <w:t xml:space="preserve"> hacer entrega vía </w:t>
      </w:r>
      <w:r w:rsidR="00AD7F4F" w:rsidRPr="00AD7F4F">
        <w:rPr>
          <w:rFonts w:ascii="Palatino Linotype" w:hAnsi="Palatino Linotype" w:cs="Arial"/>
          <w:b/>
        </w:rPr>
        <w:t>SAIMEX</w:t>
      </w:r>
      <w:r w:rsidR="005A28E4">
        <w:rPr>
          <w:rFonts w:ascii="Palatino Linotype" w:hAnsi="Palatino Linotype" w:cs="Arial"/>
          <w:b/>
        </w:rPr>
        <w:t>,</w:t>
      </w:r>
      <w:r w:rsidR="00AD7F4F" w:rsidRPr="00AD7F4F">
        <w:rPr>
          <w:rFonts w:ascii="Palatino Linotype" w:hAnsi="Palatino Linotype" w:cs="Arial"/>
        </w:rPr>
        <w:t xml:space="preserve"> </w:t>
      </w:r>
      <w:r w:rsidR="00ED4954">
        <w:rPr>
          <w:rFonts w:ascii="Palatino Linotype" w:hAnsi="Palatino Linotype" w:cs="Arial"/>
        </w:rPr>
        <w:t xml:space="preserve"> </w:t>
      </w:r>
      <w:r w:rsidR="002736FF">
        <w:rPr>
          <w:rFonts w:ascii="Palatino Linotype" w:hAnsi="Palatino Linotype" w:cs="Arial"/>
        </w:rPr>
        <w:t xml:space="preserve">de </w:t>
      </w:r>
      <w:r w:rsidR="00B53B13">
        <w:rPr>
          <w:rFonts w:ascii="Palatino Linotype" w:hAnsi="Palatino Linotype" w:cs="Arial"/>
        </w:rPr>
        <w:t xml:space="preserve">la </w:t>
      </w:r>
      <w:r w:rsidR="00A32D0F">
        <w:rPr>
          <w:rFonts w:ascii="Palatino Linotype" w:hAnsi="Palatino Linotype" w:cs="Arial"/>
        </w:rPr>
        <w:t xml:space="preserve">siguiente </w:t>
      </w:r>
      <w:r w:rsidR="00B53B13">
        <w:rPr>
          <w:rFonts w:ascii="Palatino Linotype" w:hAnsi="Palatino Linotype" w:cs="Arial"/>
        </w:rPr>
        <w:t>información</w:t>
      </w:r>
      <w:r>
        <w:rPr>
          <w:rFonts w:ascii="Palatino Linotype" w:eastAsia="Calibri" w:hAnsi="Palatino Linotype" w:cs="Arial"/>
          <w:color w:val="000000" w:themeColor="text1"/>
        </w:rPr>
        <w:t>.</w:t>
      </w:r>
      <w:r w:rsidR="00697966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A32D0F" w:rsidRPr="00A32D0F" w:rsidRDefault="00A32D0F" w:rsidP="00A32D0F">
      <w:pPr>
        <w:spacing w:before="100" w:beforeAutospacing="1" w:after="100" w:afterAutospacing="1"/>
        <w:ind w:left="851" w:right="757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  <w:r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>“</w:t>
      </w:r>
      <w:r w:rsidRPr="00A32D0F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 xml:space="preserve">El último convenio celebrado previo a la fecha de la solicitud, es decir, al treinta (30) de julio de 2018, entre el Ayuntamiento de Ecatepec de Morelos y el </w:t>
      </w:r>
      <w:r w:rsidRPr="00A32D0F">
        <w:rPr>
          <w:rFonts w:ascii="Palatino Linotype" w:hAnsi="Palatino Linotype" w:cs="Arial"/>
          <w:i/>
          <w:sz w:val="22"/>
          <w:szCs w:val="22"/>
          <w:lang w:eastAsia="es-MX"/>
        </w:rPr>
        <w:t>Sindicato Único de Trabajadores de los Poderes, Municipios e Instituciones Descentralizadas del Estado de México.</w:t>
      </w:r>
      <w:r>
        <w:rPr>
          <w:rFonts w:ascii="Palatino Linotype" w:hAnsi="Palatino Linotype" w:cs="Arial"/>
          <w:i/>
          <w:sz w:val="22"/>
          <w:szCs w:val="22"/>
          <w:lang w:eastAsia="es-MX"/>
        </w:rPr>
        <w:t>”</w:t>
      </w:r>
    </w:p>
    <w:p w:rsidR="00EE1DA7" w:rsidRDefault="00DC5C4E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4F3DBF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A32D0F">
        <w:rPr>
          <w:rFonts w:ascii="Palatino Linotype" w:hAnsi="Palatino Linotype" w:cs="Arial"/>
          <w:lang w:val="es-MX"/>
        </w:rPr>
        <w:t xml:space="preserve">a que se haya ordenado el </w:t>
      </w:r>
      <w:r w:rsidR="00B31789">
        <w:rPr>
          <w:rFonts w:ascii="Palatino Linotype" w:hAnsi="Palatino Linotype" w:cs="Arial"/>
          <w:lang w:val="es-MX"/>
        </w:rPr>
        <w:t>último</w:t>
      </w:r>
      <w:r w:rsidR="00A32D0F">
        <w:rPr>
          <w:rFonts w:ascii="Palatino Linotype" w:hAnsi="Palatino Linotype" w:cs="Arial"/>
          <w:lang w:val="es-MX"/>
        </w:rPr>
        <w:t xml:space="preserve"> convenio</w:t>
      </w:r>
      <w:r w:rsidR="00B31789">
        <w:rPr>
          <w:rFonts w:ascii="Palatino Linotype" w:hAnsi="Palatino Linotype" w:cs="Arial"/>
          <w:lang w:val="es-MX"/>
        </w:rPr>
        <w:t>.</w:t>
      </w:r>
    </w:p>
    <w:p w:rsidR="00C225E5" w:rsidRPr="00CB6159" w:rsidRDefault="009F03BA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Lo </w:t>
      </w:r>
      <w:r w:rsidR="002736FF">
        <w:rPr>
          <w:rFonts w:ascii="Palatino Linotype" w:hAnsi="Palatino Linotype" w:cs="Arial"/>
        </w:rPr>
        <w:t>anterior, obedece a que</w:t>
      </w:r>
      <w:r>
        <w:rPr>
          <w:rFonts w:ascii="Palatino Linotype" w:hAnsi="Palatino Linotype" w:cs="Arial"/>
        </w:rPr>
        <w:t xml:space="preserve"> </w:t>
      </w:r>
      <w:r w:rsidR="00AE24EF">
        <w:rPr>
          <w:rFonts w:ascii="Palatino Linotype" w:hAnsi="Palatino Linotype" w:cs="Arial"/>
        </w:rPr>
        <w:t>si bien el particular requirió el último convenio</w:t>
      </w:r>
      <w:r w:rsidRPr="009F03BA">
        <w:rPr>
          <w:rFonts w:ascii="Palatino Linotype" w:hAnsi="Palatino Linotype" w:cs="Arial"/>
        </w:rPr>
        <w:t xml:space="preserve">, </w:t>
      </w:r>
      <w:r w:rsidR="00AE24EF">
        <w:rPr>
          <w:rFonts w:ascii="Palatino Linotype" w:hAnsi="Palatino Linotype" w:cs="Arial"/>
        </w:rPr>
        <w:t xml:space="preserve"> también </w:t>
      </w:r>
      <w:r w:rsidR="00A32D0F">
        <w:rPr>
          <w:rFonts w:ascii="Palatino Linotype" w:hAnsi="Palatino Linotype" w:cs="Arial"/>
        </w:rPr>
        <w:t xml:space="preserve">lo es que </w:t>
      </w:r>
      <w:r w:rsidR="00AE24EF">
        <w:rPr>
          <w:rFonts w:ascii="Palatino Linotype" w:hAnsi="Palatino Linotype" w:cs="Arial"/>
        </w:rPr>
        <w:t xml:space="preserve">debieron suplir el requerimiento, </w:t>
      </w:r>
      <w:r w:rsidRPr="009F03BA">
        <w:rPr>
          <w:rFonts w:ascii="Palatino Linotype" w:hAnsi="Palatino Linotype" w:cs="Arial"/>
        </w:rPr>
        <w:t>en términos de los artículos 13 y 181 cuarto párrafo, de la Ley de Transparencia y Acceso a la Información Pública del Estado de México y Municipios, y en aras de privilegiar el principio de máxima publicidad a que se refieren los artículos 4 y 8 del mismo</w:t>
      </w:r>
      <w:r w:rsidR="00AE24EF">
        <w:rPr>
          <w:rFonts w:ascii="Palatino Linotype" w:hAnsi="Palatino Linotype" w:cs="Arial"/>
        </w:rPr>
        <w:t xml:space="preserve"> ordenamiento legal, y de esta manera ordenar el convenio vigente </w:t>
      </w:r>
      <w:r w:rsidR="00A32D0F">
        <w:rPr>
          <w:rFonts w:ascii="Palatino Linotype" w:hAnsi="Palatino Linotype" w:cs="Arial"/>
        </w:rPr>
        <w:t>a la fecha de solicitud, es decir, al 30 de julio de 2018,</w:t>
      </w:r>
      <w:r w:rsidR="00921942">
        <w:rPr>
          <w:rFonts w:ascii="Palatino Linotype" w:hAnsi="Palatino Linotype" w:cs="Arial"/>
        </w:rPr>
        <w:t xml:space="preserve"> entre </w:t>
      </w:r>
      <w:r w:rsidR="00921942">
        <w:rPr>
          <w:rFonts w:ascii="Palatino Linotype" w:hAnsi="Palatino Linotype"/>
        </w:rPr>
        <w:t>Ayuntamiento y el Sindicato Único de Trabajadores de los Poderes, Municipios e Instituciones Descentralizadas del Estado de México</w:t>
      </w:r>
      <w:r w:rsidR="00CB6159">
        <w:rPr>
          <w:rFonts w:ascii="Palatino Linotype" w:hAnsi="Palatino Linotype" w:cs="Arial"/>
        </w:rPr>
        <w:t>.</w:t>
      </w:r>
    </w:p>
    <w:p w:rsidR="009F03BA" w:rsidRDefault="006661F3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así que, </w:t>
      </w:r>
      <w:r w:rsidR="00921942">
        <w:rPr>
          <w:rFonts w:ascii="Palatino Linotype" w:hAnsi="Palatino Linotype" w:cs="Arial"/>
        </w:rPr>
        <w:t xml:space="preserve">se considera que </w:t>
      </w:r>
      <w:r w:rsidR="007706AF">
        <w:rPr>
          <w:rFonts w:ascii="Palatino Linotype" w:hAnsi="Palatino Linotype" w:cs="Arial"/>
        </w:rPr>
        <w:t xml:space="preserve">la Ponencia </w:t>
      </w:r>
      <w:proofErr w:type="spellStart"/>
      <w:r w:rsidR="007706AF"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debió </w:t>
      </w:r>
      <w:r w:rsidR="00921942">
        <w:rPr>
          <w:rFonts w:ascii="Palatino Linotype" w:hAnsi="Palatino Linotype" w:cs="Arial"/>
        </w:rPr>
        <w:t>hacer la suplencia al requerimiento</w:t>
      </w:r>
      <w:r w:rsidR="007706AF">
        <w:rPr>
          <w:rFonts w:ascii="Palatino Linotype" w:hAnsi="Palatino Linotype" w:cs="Arial"/>
        </w:rPr>
        <w:t>; situación que la que suscribe no advierte en el análi</w:t>
      </w:r>
      <w:r w:rsidR="00921942">
        <w:rPr>
          <w:rFonts w:ascii="Palatino Linotype" w:hAnsi="Palatino Linotype" w:cs="Arial"/>
        </w:rPr>
        <w:t>sis del recurso de que se trata, lo anterior con la finalidad de brindar mayor certeza jurídica a</w:t>
      </w:r>
      <w:r w:rsidR="007706AF">
        <w:rPr>
          <w:rFonts w:ascii="Palatino Linotype" w:hAnsi="Palatino Linotype" w:cs="Arial"/>
        </w:rPr>
        <w:t xml:space="preserve"> las partes</w:t>
      </w:r>
      <w:r w:rsidR="00C225E5">
        <w:rPr>
          <w:rFonts w:ascii="Palatino Linotype" w:hAnsi="Palatino Linotype" w:cs="Arial"/>
        </w:rPr>
        <w:t xml:space="preserve"> de conformidad con el artículo 9</w:t>
      </w:r>
      <w:r w:rsidR="00A32D0F">
        <w:rPr>
          <w:rFonts w:ascii="Palatino Linotype" w:hAnsi="Palatino Linotype" w:cs="Arial"/>
        </w:rPr>
        <w:t>,</w:t>
      </w:r>
      <w:r w:rsidR="00C225E5">
        <w:rPr>
          <w:rFonts w:ascii="Palatino Linotype" w:hAnsi="Palatino Linotype" w:cs="Arial"/>
        </w:rPr>
        <w:t xml:space="preserve"> fracción I de la Ley de Transparencia y Acceso a la Información Pública del Estado de México y Municipios.</w:t>
      </w:r>
    </w:p>
    <w:p w:rsidR="00921942" w:rsidRDefault="00921942" w:rsidP="00921942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0E16CE">
        <w:rPr>
          <w:rFonts w:ascii="Palatino Linotype" w:hAnsi="Palatino Linotype" w:cs="Arial"/>
          <w:b/>
          <w:i/>
          <w:sz w:val="22"/>
        </w:rPr>
        <w:t>Artículo 9.</w:t>
      </w:r>
      <w:r>
        <w:rPr>
          <w:rFonts w:ascii="Palatino Linotype" w:hAnsi="Palatino Linotype" w:cs="Arial"/>
          <w:i/>
          <w:sz w:val="22"/>
        </w:rPr>
        <w:t xml:space="preserve"> El Instituto deberá regir su funcionamiento de acuerdo a los siguientes principios:</w:t>
      </w:r>
    </w:p>
    <w:p w:rsidR="00921942" w:rsidRDefault="00921942" w:rsidP="00921942">
      <w:pPr>
        <w:pStyle w:val="Prrafodelista"/>
        <w:numPr>
          <w:ilvl w:val="0"/>
          <w:numId w:val="6"/>
        </w:num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:rsidR="00921942" w:rsidRDefault="00921942" w:rsidP="00921942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11080">
        <w:rPr>
          <w:rFonts w:ascii="Palatino Linotype" w:hAnsi="Palatino Linotype" w:cs="Arial"/>
          <w:i/>
          <w:sz w:val="22"/>
        </w:rPr>
        <w:t>…</w:t>
      </w:r>
      <w:r>
        <w:rPr>
          <w:rFonts w:ascii="Palatino Linotype" w:hAnsi="Palatino Linotype" w:cs="Arial"/>
          <w:i/>
          <w:sz w:val="22"/>
        </w:rPr>
        <w:t>”</w:t>
      </w:r>
    </w:p>
    <w:p w:rsidR="00921942" w:rsidRDefault="00921942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E2541D" w:rsidRDefault="000A6958" w:rsidP="0092194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t xml:space="preserve">Es por lo anteriormente expuesto que, la que suscribe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lo procedente </w:t>
      </w:r>
      <w:r w:rsidR="00921942">
        <w:rPr>
          <w:rFonts w:ascii="Palatino Linotype" w:hAnsi="Palatino Linotype" w:cs="Arial"/>
        </w:rPr>
        <w:t xml:space="preserve">era ordenar el convenio vigente al </w:t>
      </w:r>
      <w:r w:rsidR="00A32D0F">
        <w:rPr>
          <w:rFonts w:ascii="Palatino Linotype" w:hAnsi="Palatino Linotype" w:cs="Arial"/>
        </w:rPr>
        <w:t xml:space="preserve">30 de julio del </w:t>
      </w:r>
      <w:r w:rsidR="00921942">
        <w:rPr>
          <w:rFonts w:ascii="Palatino Linotype" w:hAnsi="Palatino Linotype" w:cs="Arial"/>
        </w:rPr>
        <w:t xml:space="preserve">año 2018 entre </w:t>
      </w:r>
      <w:r w:rsidR="00921942">
        <w:rPr>
          <w:rFonts w:ascii="Palatino Linotype" w:hAnsi="Palatino Linotype"/>
        </w:rPr>
        <w:t>Ayuntamiento y el Sindicato Único de Trabajadores de los Poderes, Municipios e Instituciones Descentralizadas del Estado de México</w:t>
      </w:r>
      <w:r w:rsidR="002736FF">
        <w:rPr>
          <w:rFonts w:ascii="Palatino Linotype" w:hAnsi="Palatino Linotype" w:cs="Arial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9701AB" w:rsidRDefault="009701AB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225E5" w:rsidRDefault="00C225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225E5" w:rsidRDefault="00C225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225E5" w:rsidRDefault="00C225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C225E5" w:rsidRDefault="00C225E5" w:rsidP="00921942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C225E5" w:rsidRDefault="00C225E5" w:rsidP="00921942">
            <w:pPr>
              <w:spacing w:line="360" w:lineRule="auto"/>
              <w:rPr>
                <w:rFonts w:ascii="Palatino Linotype" w:hAnsi="Palatino Linotype"/>
                <w:b/>
              </w:rPr>
            </w:pPr>
          </w:p>
          <w:p w:rsidR="00B058E5" w:rsidRDefault="00B058E5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500E64" w:rsidRDefault="00500E64" w:rsidP="00AD7F4F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B058E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500E64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184AC1" w:rsidRPr="001950C9" w:rsidRDefault="00184AC1" w:rsidP="00500E64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E2541D" w:rsidRDefault="00E2541D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B3C95" w:rsidRDefault="003B3C9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225E5" w:rsidRDefault="00C225E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00E64" w:rsidRDefault="00500E64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00E64" w:rsidRDefault="00500E64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00E64" w:rsidRDefault="00500E64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00E64" w:rsidRDefault="00500E64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00E64" w:rsidRDefault="00500E64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921942">
        <w:rPr>
          <w:rFonts w:ascii="Palatino Linotype" w:eastAsia="Calibri" w:hAnsi="Palatino Linotype" w:cs="Arial"/>
          <w:color w:val="000000" w:themeColor="text1"/>
          <w:sz w:val="20"/>
          <w:szCs w:val="20"/>
        </w:rPr>
        <w:t>2728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8,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921942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doce de septiembre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500E64" w:rsidRPr="00500E64" w:rsidRDefault="00500E64" w:rsidP="00B058E5">
      <w:pPr>
        <w:jc w:val="both"/>
        <w:rPr>
          <w:rFonts w:ascii="Palatino Linotype" w:eastAsia="Calibri" w:hAnsi="Palatino Linotype" w:cs="Arial"/>
          <w:color w:val="000000" w:themeColor="text1"/>
          <w:sz w:val="10"/>
          <w:szCs w:val="20"/>
        </w:rPr>
      </w:pPr>
    </w:p>
    <w:p w:rsidR="00DC5C4E" w:rsidRPr="00500E64" w:rsidRDefault="009701AB" w:rsidP="00B058E5">
      <w:pPr>
        <w:jc w:val="both"/>
        <w:rPr>
          <w:sz w:val="28"/>
        </w:rPr>
      </w:pPr>
      <w:r w:rsidRPr="00500E64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</w:t>
      </w:r>
      <w:r w:rsidR="006661F3" w:rsidRPr="00500E64">
        <w:rPr>
          <w:rFonts w:ascii="Palatino Linotype" w:eastAsia="Calibri" w:hAnsi="Palatino Linotype" w:cs="Arial"/>
          <w:color w:val="000000" w:themeColor="text1"/>
          <w:sz w:val="20"/>
          <w:szCs w:val="18"/>
        </w:rPr>
        <w:t>EJCA</w:t>
      </w:r>
    </w:p>
    <w:sectPr w:rsidR="00DC5C4E" w:rsidRPr="00500E64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89" w:rsidRDefault="00083589" w:rsidP="00E41B3B">
      <w:r>
        <w:separator/>
      </w:r>
    </w:p>
  </w:endnote>
  <w:endnote w:type="continuationSeparator" w:id="0">
    <w:p w:rsidR="00083589" w:rsidRDefault="00083589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84AC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84AC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89" w:rsidRDefault="00083589" w:rsidP="00E41B3B">
      <w:r>
        <w:separator/>
      </w:r>
    </w:p>
  </w:footnote>
  <w:footnote w:type="continuationSeparator" w:id="0">
    <w:p w:rsidR="00083589" w:rsidRDefault="00083589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84AC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101AC9">
      <w:rPr>
        <w:rFonts w:ascii="Palatino Linotype" w:hAnsi="Palatino Linotype" w:cs="Arial"/>
        <w:sz w:val="20"/>
        <w:szCs w:val="20"/>
      </w:rPr>
      <w:t>0</w:t>
    </w:r>
    <w:r w:rsidR="006F6B31">
      <w:rPr>
        <w:rFonts w:ascii="Palatino Linotype" w:hAnsi="Palatino Linotype" w:cs="Arial"/>
        <w:sz w:val="20"/>
        <w:szCs w:val="20"/>
      </w:rPr>
      <w:t>2728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912F1">
      <w:rPr>
        <w:rFonts w:ascii="Palatino Linotype" w:hAnsi="Palatino Linotype" w:cs="Arial"/>
        <w:sz w:val="20"/>
        <w:szCs w:val="20"/>
      </w:rPr>
      <w:t>8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184AC1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68.3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84AC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D77"/>
    <w:rsid w:val="00036109"/>
    <w:rsid w:val="00040986"/>
    <w:rsid w:val="000450C7"/>
    <w:rsid w:val="00061245"/>
    <w:rsid w:val="000764D8"/>
    <w:rsid w:val="00083589"/>
    <w:rsid w:val="0008364B"/>
    <w:rsid w:val="00090AAC"/>
    <w:rsid w:val="000A2370"/>
    <w:rsid w:val="000A6958"/>
    <w:rsid w:val="000C4E8E"/>
    <w:rsid w:val="000D1E51"/>
    <w:rsid w:val="000F4B5B"/>
    <w:rsid w:val="00101AC9"/>
    <w:rsid w:val="00122242"/>
    <w:rsid w:val="00124EC1"/>
    <w:rsid w:val="0013375F"/>
    <w:rsid w:val="00141D1C"/>
    <w:rsid w:val="00146755"/>
    <w:rsid w:val="0016404C"/>
    <w:rsid w:val="00164D8A"/>
    <w:rsid w:val="00184AC1"/>
    <w:rsid w:val="0019398B"/>
    <w:rsid w:val="001A75D6"/>
    <w:rsid w:val="001A7CEE"/>
    <w:rsid w:val="001C3DCD"/>
    <w:rsid w:val="001F2929"/>
    <w:rsid w:val="001F3E40"/>
    <w:rsid w:val="00216380"/>
    <w:rsid w:val="0023402B"/>
    <w:rsid w:val="00270A69"/>
    <w:rsid w:val="002736FF"/>
    <w:rsid w:val="00296C85"/>
    <w:rsid w:val="002C638A"/>
    <w:rsid w:val="003026B4"/>
    <w:rsid w:val="0031149D"/>
    <w:rsid w:val="00324EBE"/>
    <w:rsid w:val="0037342D"/>
    <w:rsid w:val="003948FF"/>
    <w:rsid w:val="003B3C95"/>
    <w:rsid w:val="003C2F6A"/>
    <w:rsid w:val="003C59DF"/>
    <w:rsid w:val="003C6346"/>
    <w:rsid w:val="00420511"/>
    <w:rsid w:val="00437359"/>
    <w:rsid w:val="00440036"/>
    <w:rsid w:val="00446B28"/>
    <w:rsid w:val="00463EE4"/>
    <w:rsid w:val="0048476A"/>
    <w:rsid w:val="004B2FA5"/>
    <w:rsid w:val="00500E64"/>
    <w:rsid w:val="0053148C"/>
    <w:rsid w:val="005912F1"/>
    <w:rsid w:val="005A28E4"/>
    <w:rsid w:val="005A4D7F"/>
    <w:rsid w:val="005C7C8F"/>
    <w:rsid w:val="005F3E71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F6B31"/>
    <w:rsid w:val="00700C49"/>
    <w:rsid w:val="00712C80"/>
    <w:rsid w:val="007170C1"/>
    <w:rsid w:val="00725B3B"/>
    <w:rsid w:val="00746B10"/>
    <w:rsid w:val="0075431D"/>
    <w:rsid w:val="00756313"/>
    <w:rsid w:val="0075716F"/>
    <w:rsid w:val="007706AF"/>
    <w:rsid w:val="007B2296"/>
    <w:rsid w:val="007B2574"/>
    <w:rsid w:val="007C7A0C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B0732"/>
    <w:rsid w:val="008C16DF"/>
    <w:rsid w:val="008E0C2E"/>
    <w:rsid w:val="008E5C82"/>
    <w:rsid w:val="00921942"/>
    <w:rsid w:val="009701AB"/>
    <w:rsid w:val="00990B93"/>
    <w:rsid w:val="009B3920"/>
    <w:rsid w:val="009B519C"/>
    <w:rsid w:val="009D1CB5"/>
    <w:rsid w:val="009F03BA"/>
    <w:rsid w:val="00A32D0F"/>
    <w:rsid w:val="00A502D2"/>
    <w:rsid w:val="00A6557D"/>
    <w:rsid w:val="00A66652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53B13"/>
    <w:rsid w:val="00B716F8"/>
    <w:rsid w:val="00C07CE2"/>
    <w:rsid w:val="00C225E5"/>
    <w:rsid w:val="00C34357"/>
    <w:rsid w:val="00C35879"/>
    <w:rsid w:val="00C60EC0"/>
    <w:rsid w:val="00CB6159"/>
    <w:rsid w:val="00CB71BF"/>
    <w:rsid w:val="00CC4E44"/>
    <w:rsid w:val="00CD7154"/>
    <w:rsid w:val="00CE0D21"/>
    <w:rsid w:val="00CE1537"/>
    <w:rsid w:val="00CE70C8"/>
    <w:rsid w:val="00CF6A3A"/>
    <w:rsid w:val="00D22D52"/>
    <w:rsid w:val="00D724F4"/>
    <w:rsid w:val="00D87598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D3750"/>
    <w:rsid w:val="00ED4954"/>
    <w:rsid w:val="00ED78BB"/>
    <w:rsid w:val="00EE1DA7"/>
    <w:rsid w:val="00EF0A6E"/>
    <w:rsid w:val="00F109D1"/>
    <w:rsid w:val="00F11378"/>
    <w:rsid w:val="00F26150"/>
    <w:rsid w:val="00F4326E"/>
    <w:rsid w:val="00F50C10"/>
    <w:rsid w:val="00F64CC1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112C-24D5-4AA0-A98B-E1D07793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4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6</cp:revision>
  <cp:lastPrinted>2018-09-17T22:53:00Z</cp:lastPrinted>
  <dcterms:created xsi:type="dcterms:W3CDTF">2018-09-17T16:54:00Z</dcterms:created>
  <dcterms:modified xsi:type="dcterms:W3CDTF">2018-10-19T19:33:00Z</dcterms:modified>
</cp:coreProperties>
</file>